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295" w:rsidRDefault="00D55295" w:rsidP="00D552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</w:p>
    <w:p w:rsidR="00E91631" w:rsidRDefault="00E91631" w:rsidP="00D552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</w:p>
    <w:p w:rsidR="00D55295" w:rsidRPr="007669B7" w:rsidRDefault="00D55295" w:rsidP="00D552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INFORME 001/CENI/SO/20/01-2023</w:t>
      </w:r>
      <w:r w:rsidRPr="007669B7">
        <w:rPr>
          <w:rFonts w:ascii="Century Gothic" w:hAnsi="Century Gothic" w:cs="Arial"/>
          <w:b/>
          <w:sz w:val="24"/>
          <w:szCs w:val="24"/>
        </w:rPr>
        <w:t>.</w:t>
      </w:r>
    </w:p>
    <w:p w:rsidR="00D55295" w:rsidRPr="007669B7" w:rsidRDefault="00D55295" w:rsidP="00D55295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7669B7"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  <w:t xml:space="preserve">QUE RINDE 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LA SECRETARÍA TÉCNICA DE LA COMISIÓN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ESPECIAL DE NORMATIVA INTERNA</w:t>
      </w:r>
      <w:r w:rsidRPr="007669B7">
        <w:rPr>
          <w:rFonts w:ascii="Century Gothic" w:hAnsi="Century Gothic" w:cs="Arial"/>
          <w:b/>
          <w:bCs/>
          <w:sz w:val="24"/>
          <w:szCs w:val="24"/>
        </w:rPr>
        <w:t xml:space="preserve">, RELATIVO A LA CORRESPONDENCIA RECIBIDA </w:t>
      </w:r>
      <w:r w:rsidR="00E20583">
        <w:rPr>
          <w:rFonts w:ascii="Century Gothic" w:hAnsi="Century Gothic" w:cs="Arial"/>
          <w:b/>
          <w:bCs/>
          <w:sz w:val="24"/>
          <w:szCs w:val="24"/>
        </w:rPr>
        <w:t xml:space="preserve">DEL </w:t>
      </w:r>
      <w:r w:rsidR="001A461B">
        <w:rPr>
          <w:rFonts w:ascii="Century Gothic" w:hAnsi="Century Gothic" w:cs="Arial"/>
          <w:b/>
          <w:bCs/>
          <w:sz w:val="24"/>
          <w:szCs w:val="24"/>
        </w:rPr>
        <w:t>10 DE DICIEMBRE DEL AÑO 2022 AL 20 DE ENERO</w:t>
      </w:r>
      <w:r w:rsidR="00A32C7C">
        <w:rPr>
          <w:rFonts w:ascii="Century Gothic" w:hAnsi="Century Gothic" w:cs="Arial"/>
          <w:b/>
          <w:bCs/>
          <w:sz w:val="24"/>
          <w:szCs w:val="24"/>
        </w:rPr>
        <w:t xml:space="preserve"> DEL AÑO</w:t>
      </w:r>
      <w:r w:rsidR="001A461B">
        <w:rPr>
          <w:rFonts w:ascii="Century Gothic" w:hAnsi="Century Gothic" w:cs="Arial"/>
          <w:b/>
          <w:bCs/>
          <w:sz w:val="24"/>
          <w:szCs w:val="24"/>
        </w:rPr>
        <w:t xml:space="preserve"> 2023.</w:t>
      </w:r>
    </w:p>
    <w:p w:rsidR="00D55295" w:rsidRPr="007669B7" w:rsidRDefault="00D55295" w:rsidP="00D55295">
      <w:pPr>
        <w:tabs>
          <w:tab w:val="left" w:pos="975"/>
        </w:tabs>
        <w:spacing w:after="0"/>
        <w:ind w:right="-142"/>
        <w:jc w:val="both"/>
        <w:rPr>
          <w:rFonts w:ascii="Century Gothic" w:hAnsi="Century Gothic" w:cs="Arial"/>
          <w:sz w:val="24"/>
          <w:szCs w:val="24"/>
        </w:rPr>
      </w:pPr>
    </w:p>
    <w:p w:rsidR="00E91631" w:rsidRDefault="00E91631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:rsidR="00D55295" w:rsidRPr="007669B7" w:rsidRDefault="00D55295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  <w:r w:rsidRPr="007669B7">
        <w:rPr>
          <w:rFonts w:ascii="Century Gothic" w:hAnsi="Century Gothic" w:cs="Arial"/>
          <w:sz w:val="24"/>
          <w:szCs w:val="24"/>
        </w:rPr>
        <w:t xml:space="preserve">En cumplimiento a lo establecido en los artículos 36, fracción X y 50, fracción III </w:t>
      </w:r>
      <w:r w:rsidRPr="007669B7">
        <w:rPr>
          <w:rFonts w:ascii="Century Gothic" w:hAnsi="Century Gothic" w:cs="Arial"/>
          <w:sz w:val="24"/>
          <w:szCs w:val="24"/>
          <w:lang w:val="es-MX"/>
        </w:rPr>
        <w:t>del Reglamento de Comisiones del Consejo General del Instituto Electoral y de Participación Ciudadana del Estado de Guerrero</w:t>
      </w:r>
      <w:r w:rsidRPr="007669B7">
        <w:rPr>
          <w:rFonts w:ascii="Century Gothic" w:hAnsi="Century Gothic" w:cs="Arial"/>
          <w:sz w:val="24"/>
          <w:szCs w:val="24"/>
        </w:rPr>
        <w:t>, se informa que:</w:t>
      </w:r>
    </w:p>
    <w:p w:rsidR="00D55295" w:rsidRDefault="00D55295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:rsidR="00C13EE1" w:rsidRPr="00905836" w:rsidRDefault="00C13EE1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El 14 de diciembre del año 2022, se recibió el oficio </w:t>
      </w:r>
      <w:r w:rsidR="0090368B">
        <w:rPr>
          <w:rFonts w:ascii="Century Gothic" w:hAnsi="Century Gothic" w:cs="Arial"/>
          <w:sz w:val="24"/>
          <w:szCs w:val="24"/>
        </w:rPr>
        <w:t>número</w:t>
      </w:r>
      <w:r>
        <w:rPr>
          <w:rFonts w:ascii="Century Gothic" w:hAnsi="Century Gothic" w:cs="Arial"/>
          <w:sz w:val="24"/>
          <w:szCs w:val="24"/>
        </w:rPr>
        <w:t xml:space="preserve"> 519/2022, suscrito por el </w:t>
      </w:r>
      <w:r w:rsidRPr="00905836">
        <w:rPr>
          <w:rFonts w:ascii="Century Gothic" w:hAnsi="Century Gothic" w:cs="Arial"/>
          <w:b/>
          <w:sz w:val="24"/>
          <w:szCs w:val="24"/>
        </w:rPr>
        <w:t xml:space="preserve">C. Martin </w:t>
      </w:r>
      <w:r w:rsidR="0090368B" w:rsidRPr="00905836">
        <w:rPr>
          <w:rFonts w:ascii="Century Gothic" w:hAnsi="Century Gothic" w:cs="Arial"/>
          <w:b/>
          <w:sz w:val="24"/>
          <w:szCs w:val="24"/>
        </w:rPr>
        <w:t>Pérez</w:t>
      </w:r>
      <w:r w:rsidRPr="00905836">
        <w:rPr>
          <w:rFonts w:ascii="Century Gothic" w:hAnsi="Century Gothic" w:cs="Arial"/>
          <w:b/>
          <w:sz w:val="24"/>
          <w:szCs w:val="24"/>
        </w:rPr>
        <w:t xml:space="preserve"> </w:t>
      </w:r>
      <w:r w:rsidR="0090368B" w:rsidRPr="00905836">
        <w:rPr>
          <w:rFonts w:ascii="Century Gothic" w:hAnsi="Century Gothic" w:cs="Arial"/>
          <w:b/>
          <w:sz w:val="24"/>
          <w:szCs w:val="24"/>
        </w:rPr>
        <w:t>González</w:t>
      </w:r>
      <w:r w:rsidR="0090368B">
        <w:rPr>
          <w:rFonts w:ascii="Century Gothic" w:hAnsi="Century Gothic" w:cs="Arial"/>
          <w:sz w:val="24"/>
          <w:szCs w:val="24"/>
        </w:rPr>
        <w:t>, Encargado de la Coordinación de Prerrogativas y Partidos Políticos</w:t>
      </w:r>
      <w:r w:rsidR="00E91631">
        <w:rPr>
          <w:rFonts w:ascii="Century Gothic" w:hAnsi="Century Gothic" w:cs="Arial"/>
          <w:sz w:val="24"/>
          <w:szCs w:val="24"/>
        </w:rPr>
        <w:t>, mediante el cual informó</w:t>
      </w:r>
      <w:r w:rsidR="00905836">
        <w:rPr>
          <w:rFonts w:ascii="Century Gothic" w:hAnsi="Century Gothic" w:cs="Arial"/>
          <w:sz w:val="24"/>
          <w:szCs w:val="24"/>
        </w:rPr>
        <w:t xml:space="preserve"> que la normativa interna que deberá ser creada es la siguiente: </w:t>
      </w:r>
      <w:r w:rsidR="00905836" w:rsidRPr="00905836">
        <w:rPr>
          <w:rFonts w:ascii="Century Gothic" w:hAnsi="Century Gothic" w:cs="Arial"/>
          <w:b/>
          <w:sz w:val="24"/>
          <w:szCs w:val="24"/>
        </w:rPr>
        <w:t>1.-</w:t>
      </w:r>
      <w:r w:rsidR="00905836" w:rsidRPr="00905836">
        <w:rPr>
          <w:rFonts w:ascii="Century Gothic" w:hAnsi="Century Gothic" w:cs="Arial"/>
          <w:sz w:val="24"/>
          <w:szCs w:val="24"/>
        </w:rPr>
        <w:t xml:space="preserve"> </w:t>
      </w:r>
      <w:r w:rsidR="00905836" w:rsidRPr="00905836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000000"/>
          <w:sz w:val="24"/>
          <w:szCs w:val="24"/>
          <w:shd w:val="clear" w:color="auto" w:fill="FFFFFF"/>
        </w:rPr>
        <w:t xml:space="preserve">Lineamientos para el Registro de Candidaturas para el Proceso Electoral Ordinario de Diputaciones Locales y Ayuntamientos 2023-2024, </w:t>
      </w:r>
      <w:r w:rsidR="00905836" w:rsidRPr="00905836">
        <w:rPr>
          <w:rFonts w:ascii="Century Gothic" w:hAnsi="Century Gothic" w:cs="Arial"/>
          <w:b/>
          <w:i/>
          <w:iCs/>
          <w:color w:val="000000"/>
          <w:sz w:val="24"/>
          <w:szCs w:val="24"/>
          <w:shd w:val="clear" w:color="auto" w:fill="FFFFFF"/>
        </w:rPr>
        <w:t>2.-</w:t>
      </w:r>
      <w:r w:rsidR="00905836" w:rsidRPr="00905836">
        <w:rPr>
          <w:rFonts w:ascii="Century Gothic" w:hAnsi="Century Gothic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905836" w:rsidRPr="00905836">
        <w:rPr>
          <w:rFonts w:ascii="Century Gothic" w:hAnsi="Century Gothic"/>
          <w:color w:val="222222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>Lineamientos de precampañas electorales que deberán observar los partidos políticos, coaliciones, candidaturas comunes y precandidaturas</w:t>
      </w:r>
      <w:r w:rsidR="00905836" w:rsidRPr="00905836"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 xml:space="preserve">en el Proceso Electoral Ordinario 2023-2024; </w:t>
      </w:r>
      <w:r w:rsidR="00905836" w:rsidRPr="00905836">
        <w:rPr>
          <w:rFonts w:ascii="Century Gothic" w:hAnsi="Century Gothic" w:cs="Arial"/>
          <w:b/>
          <w:i/>
          <w:iCs/>
          <w:color w:val="222222"/>
          <w:sz w:val="24"/>
          <w:szCs w:val="24"/>
          <w:shd w:val="clear" w:color="auto" w:fill="FFFFFF"/>
        </w:rPr>
        <w:t>3.-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 xml:space="preserve"> Lineamientos de campañas electorales que deberán observar los partidos políticos, coaliciones, candidaturas comunes y candidaturas independientes en el Proceso Electoral Ordinario 2023-2024; </w:t>
      </w:r>
      <w:r w:rsidR="00905836" w:rsidRPr="00905836">
        <w:rPr>
          <w:rFonts w:ascii="Century Gothic" w:hAnsi="Century Gothic" w:cs="Arial"/>
          <w:b/>
          <w:i/>
          <w:iCs/>
          <w:color w:val="222222"/>
          <w:sz w:val="24"/>
          <w:szCs w:val="24"/>
          <w:shd w:val="clear" w:color="auto" w:fill="FFFFFF"/>
        </w:rPr>
        <w:t>4.-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 xml:space="preserve"> Lineamientos que deberán observar las ciudadanas y ciudadanos interesados en postularse como candidatas o candidatos independientes a cargos de elección popular</w:t>
      </w:r>
      <w:r w:rsidR="00905836" w:rsidRPr="00905836"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 xml:space="preserve">en el Proceso Electoral Ordinario 2023-2024; y </w:t>
      </w:r>
      <w:r w:rsidR="00905836" w:rsidRPr="00905836">
        <w:rPr>
          <w:rFonts w:ascii="Century Gothic" w:hAnsi="Century Gothic" w:cs="Arial"/>
          <w:b/>
          <w:i/>
          <w:iCs/>
          <w:color w:val="222222"/>
          <w:sz w:val="24"/>
          <w:szCs w:val="24"/>
          <w:shd w:val="clear" w:color="auto" w:fill="FFFFFF"/>
        </w:rPr>
        <w:t>5.-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 xml:space="preserve">  </w:t>
      </w:r>
      <w:r w:rsidR="00905836" w:rsidRPr="00905836">
        <w:rPr>
          <w:rFonts w:ascii="Century Gothic" w:hAnsi="Century Gothic"/>
          <w:color w:val="222222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>Lineamientos para el registro de coaliciones y candidaturas comunes,</w:t>
      </w:r>
      <w:r w:rsidR="00905836" w:rsidRPr="00905836"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  <w:t> </w:t>
      </w:r>
      <w:r w:rsidR="00905836" w:rsidRPr="00905836">
        <w:rPr>
          <w:rFonts w:ascii="Century Gothic" w:hAnsi="Century Gothic" w:cs="Arial"/>
          <w:i/>
          <w:iCs/>
          <w:color w:val="222222"/>
          <w:sz w:val="24"/>
          <w:szCs w:val="24"/>
          <w:shd w:val="clear" w:color="auto" w:fill="FFFFFF"/>
        </w:rPr>
        <w:t>en el Proceso Electoral Ordinario 2023-2024.</w:t>
      </w:r>
    </w:p>
    <w:p w:rsidR="00C13EE1" w:rsidRPr="007669B7" w:rsidRDefault="00C13EE1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:rsidR="00CA20A3" w:rsidRDefault="00CA20A3" w:rsidP="00E93274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El 15 de diciembre del año 2022, se recibió el oficio </w:t>
      </w:r>
      <w:r w:rsidR="00B419E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número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022/2022, suscrito por el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 xml:space="preserve">C. Jaime Flores Pérez,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Coordinador de Organización Electoral, mediante el cual por instrucciones del Mtro. Alberto Granda Villalba, encargado de despacho de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lastRenderedPageBreak/>
        <w:t>la Dirección Ejecutiva de Organización E</w:t>
      </w:r>
      <w:r w:rsidR="00E91631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lectoral, informó</w:t>
      </w:r>
      <w:r w:rsidR="0004112A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que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los documentos normativos que requieren reformarse y adicionarse, para el proceso electoral 2023-2024</w:t>
      </w:r>
      <w:r w:rsidR="00E91631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, son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los siguientes: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1.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 xml:space="preserve"> </w:t>
      </w:r>
      <w:r w:rsidRPr="00CA20A3">
        <w:t xml:space="preserve">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Reglamento para la designación, </w:t>
      </w:r>
      <w:r w:rsidR="008F28FB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ratificación y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remoció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n de presidencias y consejerías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electora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les de los consejos distritales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electorale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s, del Instituto Electoral y de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Partic</w:t>
      </w:r>
      <w:r w:rsidR="00D6286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ipación Ciudadana del Estado de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Guerrero;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2.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B419E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Lineamientos par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a la designación, destitución y sustitución de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secretaría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 técnicas de los 28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consejos distrit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ales electorales, del Instituto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Electoral y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de Participación Ciudadana del Estado de Guerrero;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3.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Lineamiento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 para la ubicación, selección,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adecuaciones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y equipamiento de los inmuebles objeto de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arrendamiento para la insta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lación de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los 28 consejos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distritales electorales para el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proceso elec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toral de Diputaciones Locales y Ayuntamientos 2023-2024;               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4.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Manual para el de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sarrollo de las sesiones de los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consejos distrita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les electorales para el proceso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electoral ordinario de Diputacio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nes Locales y Ayuntamientos 2023-2024;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5.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Lineamientos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para garantizar la integración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pari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taria del Congreso del Estado y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Ayuntamientos, en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el proceso electoral ordinario </w:t>
      </w:r>
      <w:r w:rsidRPr="00CA20A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 Diputacione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 Locales y Ayuntamientos 2023- 2024; </w:t>
      </w:r>
      <w:r w:rsidR="00E93274"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6.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Manual para e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l conteo, sellado, agrupamiento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 boletas e inte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gración de paquetes electorales en los consejos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distritales electorales para el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proceso electoral ordinario de Diputaciones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Lo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cales y Ayuntamientos 2023-2024; </w:t>
      </w:r>
      <w:r w:rsidR="00E93274"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7.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Lineamientos para el desarrollo de l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a sesión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especial de cómp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uto distritales para el proceso electoral ordinario de Diputaciones Locales y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Ayuntamientos 2023-2024.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; y </w:t>
      </w:r>
      <w:r w:rsidR="00E93274"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8.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Manual para el d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esarrollo de la sesión especial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 cómputos distri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tales para el proceso electoral ordinario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 Diputaciones Local</w:t>
      </w:r>
      <w:r w:rsid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es y </w:t>
      </w:r>
      <w:r w:rsidR="00E93274" w:rsidRPr="00E93274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Ayuntamientos 2023-2024.</w:t>
      </w:r>
    </w:p>
    <w:p w:rsidR="00CA20A3" w:rsidRDefault="00CA20A3" w:rsidP="00D55295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</w:p>
    <w:p w:rsidR="0089164C" w:rsidRDefault="0089164C" w:rsidP="00D55295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  <w:r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 09</w:t>
      </w:r>
      <w:r w:rsidR="004C29F2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650A8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de </w:t>
      </w:r>
      <w:r w:rsidR="00D55295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enero</w:t>
      </w:r>
      <w:r w:rsidR="00997865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4C6BDE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del año</w:t>
      </w:r>
      <w:r w:rsidR="00C322B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4C6BDE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en</w:t>
      </w:r>
      <w:r w:rsidR="00D55295"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4C6BDE"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curso, se recibió el oficio</w:t>
      </w:r>
      <w:r w:rsidR="00D55295"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número</w:t>
      </w:r>
      <w:r w:rsidR="00D55295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002</w:t>
      </w:r>
      <w:r w:rsidR="00717EA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/2023</w:t>
      </w:r>
      <w:r w:rsidR="00D55295"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, suscrito por el </w:t>
      </w:r>
      <w:r w:rsidR="00D62864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 xml:space="preserve">C. </w:t>
      </w:r>
      <w:r w:rsidR="00D55295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Abraham Jiménez Rendón</w:t>
      </w:r>
      <w:r w:rsidR="00D55295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, Jefe de la Unidad de Participación Ciudadana</w:t>
      </w:r>
      <w:r w:rsidR="00D55295" w:rsidRPr="007669B7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,</w:t>
      </w:r>
      <w:r w:rsidR="004C29F2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median</w:t>
      </w:r>
      <w:r w:rsidR="00D91972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te</w:t>
      </w:r>
      <w:r w:rsidR="004C29F2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el cual informó que la normativa interna que deberá ser reformada es la siguiente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: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1.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Lineamientos del Instituto Electoral y de Participación Ciudadana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lastRenderedPageBreak/>
        <w:t>del Estado de Guerrero, en Materia de Verificación del apoyo Ciuda</w:t>
      </w:r>
      <w:r w:rsidR="00F8602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dano para la iniciativa Popular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.</w:t>
      </w:r>
    </w:p>
    <w:p w:rsidR="0089164C" w:rsidRDefault="0089164C" w:rsidP="00D55295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</w:p>
    <w:p w:rsidR="00717EAC" w:rsidRDefault="009F5AAD" w:rsidP="00717EAC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El 10 de enero del año en curso, se recibió un correo el</w:t>
      </w:r>
      <w:r w:rsidR="00F8602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ectrónico institucional dirigido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a esta </w:t>
      </w:r>
      <w:r w:rsidR="00542B42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Secretaría Técnica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, suscrito por el </w:t>
      </w:r>
      <w:r w:rsidRPr="00F0641A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Mtro. Zenaido Ortiz Añorve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, encargado de Despacho de la Coordinación de Sistemas Normativos Pluriculturales,</w:t>
      </w:r>
      <w:r w:rsidR="00102BB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mediante el cual informó que la normativa interna que deberá ser creada es la </w:t>
      </w:r>
      <w:r w:rsidR="00F0641A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siguiente: </w:t>
      </w:r>
      <w:r w:rsidR="00F0641A"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1.</w:t>
      </w:r>
      <w:r w:rsidR="00FF7970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-</w:t>
      </w:r>
      <w:r w:rsidR="00F0641A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0850D9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Lineamiento</w:t>
      </w:r>
      <w:r w:rsidR="00884825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s</w:t>
      </w:r>
      <w:r w:rsidR="000850D9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o Reglamento para garantizar la incorporación de la representación indígena y afromexicana en los Consejos Electorales del IEPC Guerrero; </w:t>
      </w:r>
      <w:r w:rsidR="000850D9" w:rsidRPr="00E91631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2.-</w:t>
      </w:r>
      <w:r w:rsidR="000850D9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Proyecto de Reglamento de colaboración </w:t>
      </w:r>
      <w:r w:rsidR="00F0641A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del Instituto Electoral y de Participación Ciudadana del Estado de Guerrero, en la elección de comisarias municipales de los municipios del Estado de Guerrero.</w:t>
      </w:r>
    </w:p>
    <w:p w:rsidR="00B419E7" w:rsidRDefault="00B419E7" w:rsidP="00717EAC">
      <w:pPr>
        <w:shd w:val="clear" w:color="auto" w:fill="FFFFFF"/>
        <w:spacing w:after="0" w:line="360" w:lineRule="auto"/>
        <w:jc w:val="both"/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</w:pPr>
    </w:p>
    <w:p w:rsidR="00C322BC" w:rsidRDefault="00717EAC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El 10 de enero del año en curso, se recibió el </w:t>
      </w:r>
      <w:r w:rsidR="00F8602C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oficio número 002/2023, suscrito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por la </w:t>
      </w:r>
      <w:r w:rsidRPr="00B419E7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C. Ma. Concepción Rodríguez Serrano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, Encargada de la Unidad </w:t>
      </w:r>
      <w:r w:rsidR="00AF1301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T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écnica de Igualdad de Género y no Discriminación</w:t>
      </w:r>
      <w:r w:rsidR="00912F73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>,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 </w:t>
      </w:r>
      <w:r w:rsidR="00912F73" w:rsidRPr="007669B7">
        <w:rPr>
          <w:rFonts w:ascii="Century Gothic" w:hAnsi="Century Gothic" w:cs="Arial"/>
          <w:sz w:val="24"/>
          <w:szCs w:val="24"/>
        </w:rPr>
        <w:t xml:space="preserve">mediante el cual </w:t>
      </w:r>
      <w:r w:rsidR="00F8602C">
        <w:rPr>
          <w:rFonts w:ascii="Century Gothic" w:hAnsi="Century Gothic" w:cs="Arial"/>
          <w:sz w:val="24"/>
          <w:szCs w:val="24"/>
        </w:rPr>
        <w:t xml:space="preserve">informó la necesidad de emitir </w:t>
      </w:r>
      <w:r w:rsidR="00912F73" w:rsidRPr="007669B7">
        <w:rPr>
          <w:rFonts w:ascii="Century Gothic" w:hAnsi="Century Gothic" w:cs="Arial"/>
          <w:sz w:val="24"/>
          <w:szCs w:val="24"/>
        </w:rPr>
        <w:t xml:space="preserve">los siguientes documentos normativos: </w:t>
      </w:r>
      <w:r w:rsidR="00912F73" w:rsidRPr="007669B7">
        <w:rPr>
          <w:rFonts w:ascii="Century Gothic" w:hAnsi="Century Gothic" w:cs="Arial"/>
          <w:b/>
          <w:sz w:val="24"/>
          <w:szCs w:val="24"/>
        </w:rPr>
        <w:t>1.-</w:t>
      </w:r>
      <w:r w:rsidR="00912F73" w:rsidRPr="007669B7">
        <w:rPr>
          <w:rFonts w:ascii="Century Gothic" w:hAnsi="Century Gothic" w:cs="Arial"/>
          <w:sz w:val="24"/>
          <w:szCs w:val="24"/>
        </w:rPr>
        <w:t xml:space="preserve"> P</w:t>
      </w:r>
      <w:r w:rsidR="00912F73" w:rsidRPr="007669B7">
        <w:rPr>
          <w:rFonts w:ascii="Century Gothic" w:hAnsi="Century Gothic" w:cs="Arial"/>
          <w:bCs/>
          <w:color w:val="222222"/>
          <w:sz w:val="24"/>
          <w:szCs w:val="24"/>
          <w:shd w:val="clear" w:color="auto" w:fill="FFFFFF"/>
        </w:rPr>
        <w:t xml:space="preserve">royecto de Protocolo para Prevenir, Atender y Sancionar el Hostigamiento y/o Acoso Sexual y/o Laboral del Instituto Electoral y de Participación Ciudadana del Estado de Guerrero, y; </w:t>
      </w:r>
      <w:r w:rsidR="00912F73" w:rsidRPr="007669B7">
        <w:rPr>
          <w:rFonts w:ascii="Century Gothic" w:hAnsi="Century Gothic" w:cs="Arial"/>
          <w:b/>
          <w:bCs/>
          <w:color w:val="222222"/>
          <w:sz w:val="24"/>
          <w:szCs w:val="24"/>
          <w:shd w:val="clear" w:color="auto" w:fill="FFFFFF"/>
        </w:rPr>
        <w:t>2.-</w:t>
      </w:r>
      <w:r w:rsidR="00912F73" w:rsidRPr="007669B7">
        <w:rPr>
          <w:rFonts w:ascii="Century Gothic" w:hAnsi="Century Gothic" w:cs="Arial"/>
          <w:bCs/>
          <w:color w:val="222222"/>
          <w:sz w:val="24"/>
          <w:szCs w:val="24"/>
          <w:shd w:val="clear" w:color="auto" w:fill="FFFFFF"/>
        </w:rPr>
        <w:t xml:space="preserve"> Proyecto de reforma al Manual para el uso correcto del Buzón de Quejas y Denuncias para un Ambiente Laboral L</w:t>
      </w:r>
      <w:r w:rsidR="00912F73">
        <w:rPr>
          <w:rFonts w:ascii="Century Gothic" w:hAnsi="Century Gothic" w:cs="Arial"/>
          <w:bCs/>
          <w:color w:val="222222"/>
          <w:sz w:val="24"/>
          <w:szCs w:val="24"/>
          <w:shd w:val="clear" w:color="auto" w:fill="FFFFFF"/>
        </w:rPr>
        <w:t>ibre de Violencia Discriminación</w:t>
      </w:r>
      <w:r w:rsidR="00912F73" w:rsidRPr="007669B7"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  <w:t>.</w:t>
      </w:r>
    </w:p>
    <w:p w:rsidR="00D55295" w:rsidRDefault="00D55295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:rsidR="00A355D6" w:rsidRDefault="00A355D6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</w:rPr>
      </w:pPr>
      <w:r>
        <w:rPr>
          <w:rFonts w:ascii="Century Gothic" w:eastAsia="Arial" w:hAnsi="Century Gothic" w:cs="Arial"/>
          <w:sz w:val="24"/>
          <w:szCs w:val="24"/>
          <w:lang w:val="es-MX"/>
        </w:rPr>
        <w:t xml:space="preserve">El 17 de enero del año en curso, se recibió un </w:t>
      </w:r>
      <w:r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correo electrónico institucional dirigido a esta Secretaría Técnica, suscrito por el </w:t>
      </w:r>
      <w:bookmarkStart w:id="0" w:name="_GoBack"/>
      <w:r w:rsidRPr="0004112A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C</w:t>
      </w:r>
      <w:r w:rsidRPr="0004112A">
        <w:rPr>
          <w:rFonts w:ascii="Century Gothic" w:eastAsia="Times New Roman" w:hAnsi="Century Gothic" w:cs="Arial"/>
          <w:b/>
          <w:sz w:val="24"/>
          <w:szCs w:val="24"/>
          <w:lang w:val="es-MX" w:eastAsia="es-MX"/>
        </w:rPr>
        <w:t>.</w:t>
      </w:r>
      <w:r w:rsidRPr="0004112A">
        <w:rPr>
          <w:rFonts w:ascii="Arial" w:eastAsia="Times New Roman" w:hAnsi="Arial" w:cs="Arial"/>
          <w:b/>
          <w:bCs/>
          <w:sz w:val="24"/>
          <w:szCs w:val="24"/>
          <w:lang w:val="es-MX" w:eastAsia="es-MX"/>
        </w:rPr>
        <w:t xml:space="preserve"> </w:t>
      </w:r>
      <w:r w:rsidRPr="0004112A">
        <w:rPr>
          <w:rFonts w:ascii="Century Gothic" w:eastAsia="Times New Roman" w:hAnsi="Century Gothic" w:cs="Arial"/>
          <w:b/>
          <w:bCs/>
          <w:color w:val="222222"/>
          <w:sz w:val="24"/>
          <w:szCs w:val="24"/>
          <w:lang w:val="es-MX" w:eastAsia="es-MX"/>
        </w:rPr>
        <w:t>Enrique Álvarez Cárdenas,</w:t>
      </w:r>
      <w:r>
        <w:rPr>
          <w:rFonts w:ascii="Century Gothic" w:eastAsia="Times New Roman" w:hAnsi="Century Gothic" w:cs="Arial"/>
          <w:bCs/>
          <w:color w:val="222222"/>
          <w:sz w:val="24"/>
          <w:szCs w:val="24"/>
          <w:lang w:val="es-MX" w:eastAsia="es-MX"/>
        </w:rPr>
        <w:t xml:space="preserve"> </w:t>
      </w:r>
      <w:bookmarkEnd w:id="0"/>
      <w:r w:rsidRPr="00A355D6">
        <w:rPr>
          <w:rFonts w:ascii="Century Gothic" w:eastAsia="Times New Roman" w:hAnsi="Century Gothic" w:cs="Arial"/>
          <w:bCs/>
          <w:color w:val="222222"/>
          <w:sz w:val="24"/>
          <w:szCs w:val="24"/>
          <w:lang w:val="es-MX" w:eastAsia="es-MX"/>
        </w:rPr>
        <w:t>encargado de la Coordinación de Fiscalización</w:t>
      </w:r>
      <w:r>
        <w:rPr>
          <w:rFonts w:ascii="Century Gothic" w:eastAsia="Times New Roman" w:hAnsi="Century Gothic" w:cs="Arial"/>
          <w:bCs/>
          <w:color w:val="222222"/>
          <w:sz w:val="24"/>
          <w:szCs w:val="24"/>
          <w:lang w:val="es-MX" w:eastAsia="es-MX"/>
        </w:rPr>
        <w:t xml:space="preserve"> a Organizaciones Ciudadanas, mediante el cual </w:t>
      </w:r>
      <w:r w:rsidR="004C6BDE">
        <w:rPr>
          <w:rFonts w:ascii="Century Gothic" w:eastAsia="Times New Roman" w:hAnsi="Century Gothic" w:cs="Arial"/>
          <w:bCs/>
          <w:color w:val="222222"/>
          <w:sz w:val="24"/>
          <w:szCs w:val="24"/>
          <w:lang w:val="es-MX" w:eastAsia="es-MX"/>
        </w:rPr>
        <w:t xml:space="preserve">informa que la normativa que tienen planeada reformarse es la siguiente: </w:t>
      </w:r>
      <w:r w:rsidR="004C6BDE">
        <w:rPr>
          <w:rFonts w:ascii="Century Gothic" w:eastAsia="Arial" w:hAnsi="Century Gothic" w:cs="Arial"/>
          <w:sz w:val="24"/>
          <w:szCs w:val="24"/>
          <w:lang w:val="es-MX"/>
        </w:rPr>
        <w:t>“</w:t>
      </w:r>
      <w:r w:rsidRPr="00A355D6">
        <w:rPr>
          <w:rFonts w:ascii="Century Gothic" w:eastAsia="Arial" w:hAnsi="Century Gothic" w:cs="Arial"/>
          <w:sz w:val="24"/>
          <w:szCs w:val="24"/>
        </w:rPr>
        <w:t>Lineamientos para la disolución y liquidación de las asociaciones civiles constituidas para obtención de candidaturas independientes correspondientes a los procesos electorales locales en el estado de Guerrero</w:t>
      </w:r>
      <w:r w:rsidR="004C6BDE">
        <w:rPr>
          <w:rFonts w:ascii="Century Gothic" w:eastAsia="Arial" w:hAnsi="Century Gothic" w:cs="Arial"/>
          <w:sz w:val="24"/>
          <w:szCs w:val="24"/>
        </w:rPr>
        <w:t>” y que</w:t>
      </w:r>
      <w:r w:rsidRPr="00A355D6">
        <w:rPr>
          <w:rFonts w:ascii="Century Gothic" w:eastAsia="Arial" w:hAnsi="Century Gothic" w:cs="Arial"/>
          <w:sz w:val="24"/>
          <w:szCs w:val="24"/>
        </w:rPr>
        <w:t xml:space="preserve">; en su caso, se </w:t>
      </w:r>
      <w:r w:rsidRPr="00A355D6">
        <w:rPr>
          <w:rFonts w:ascii="Century Gothic" w:eastAsia="Arial" w:hAnsi="Century Gothic" w:cs="Arial"/>
          <w:sz w:val="24"/>
          <w:szCs w:val="24"/>
        </w:rPr>
        <w:lastRenderedPageBreak/>
        <w:t xml:space="preserve">contemplarán los plazos que emita </w:t>
      </w:r>
      <w:r w:rsidR="004C6BDE">
        <w:rPr>
          <w:rFonts w:ascii="Century Gothic" w:eastAsia="Arial" w:hAnsi="Century Gothic" w:cs="Arial"/>
          <w:sz w:val="24"/>
          <w:szCs w:val="24"/>
        </w:rPr>
        <w:t xml:space="preserve">el </w:t>
      </w:r>
      <w:r w:rsidRPr="00A355D6">
        <w:rPr>
          <w:rFonts w:ascii="Century Gothic" w:eastAsia="Arial" w:hAnsi="Century Gothic" w:cs="Arial"/>
          <w:sz w:val="24"/>
          <w:szCs w:val="24"/>
        </w:rPr>
        <w:t>Instituto Nacional Electoral en materia de registro de candidaturas independientes.</w:t>
      </w:r>
    </w:p>
    <w:p w:rsidR="004C6BDE" w:rsidRPr="007669B7" w:rsidRDefault="004C6BDE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:rsidR="00D55295" w:rsidRPr="007669B7" w:rsidRDefault="00D55295" w:rsidP="00D552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Lo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que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se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>i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nforma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 xml:space="preserve">a 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>e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sta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Comisión,</w:t>
      </w:r>
      <w:r w:rsidRPr="007669B7">
        <w:rPr>
          <w:rFonts w:ascii="Century Gothic" w:eastAsia="Arial" w:hAnsi="Century Gothic" w:cs="Arial"/>
          <w:spacing w:val="-9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para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su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conocimiento</w:t>
      </w:r>
      <w:r w:rsidRPr="007669B7">
        <w:rPr>
          <w:rFonts w:ascii="Century Gothic" w:eastAsia="Arial" w:hAnsi="Century Gothic" w:cs="Arial"/>
          <w:spacing w:val="-1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y</w:t>
      </w:r>
      <w:r w:rsidRPr="007669B7">
        <w:rPr>
          <w:rFonts w:ascii="Century Gothic" w:eastAsia="Arial" w:hAnsi="Century Gothic" w:cs="Arial"/>
          <w:spacing w:val="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efectos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legales conducen</w:t>
      </w:r>
      <w:r w:rsidRPr="007669B7">
        <w:rPr>
          <w:rFonts w:ascii="Century Gothic" w:eastAsia="Arial" w:hAnsi="Century Gothic" w:cs="Arial"/>
          <w:spacing w:val="2"/>
          <w:sz w:val="24"/>
          <w:szCs w:val="24"/>
          <w:lang w:val="es-MX"/>
        </w:rPr>
        <w:t>t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es.</w:t>
      </w:r>
    </w:p>
    <w:p w:rsidR="00D55295" w:rsidRPr="007669B7" w:rsidRDefault="00D55295" w:rsidP="00D55295">
      <w:pPr>
        <w:tabs>
          <w:tab w:val="left" w:pos="975"/>
        </w:tabs>
        <w:spacing w:after="0" w:line="360" w:lineRule="auto"/>
        <w:ind w:left="284" w:right="-142"/>
        <w:jc w:val="right"/>
        <w:rPr>
          <w:rFonts w:ascii="Century Gothic" w:hAnsi="Century Gothic" w:cs="Arial"/>
          <w:b/>
          <w:bCs/>
          <w:sz w:val="24"/>
          <w:szCs w:val="24"/>
        </w:rPr>
      </w:pPr>
    </w:p>
    <w:p w:rsidR="00D55295" w:rsidRPr="007669B7" w:rsidRDefault="00D55295" w:rsidP="00D55295">
      <w:pPr>
        <w:spacing w:after="0" w:line="360" w:lineRule="auto"/>
        <w:ind w:left="-142" w:firstLine="568"/>
        <w:jc w:val="right"/>
        <w:rPr>
          <w:rFonts w:ascii="Century Gothic" w:hAnsi="Century Gothic"/>
          <w:sz w:val="24"/>
          <w:szCs w:val="24"/>
        </w:rPr>
      </w:pPr>
      <w:r w:rsidRPr="007669B7">
        <w:rPr>
          <w:rFonts w:ascii="Century Gothic" w:hAnsi="Century Gothic"/>
          <w:sz w:val="24"/>
          <w:szCs w:val="24"/>
        </w:rPr>
        <w:t xml:space="preserve">Chilpancingo de los Bravo, Guerrero, a </w:t>
      </w:r>
      <w:r w:rsidR="008F28FB">
        <w:rPr>
          <w:rFonts w:ascii="Century Gothic" w:hAnsi="Century Gothic"/>
          <w:sz w:val="24"/>
          <w:szCs w:val="24"/>
        </w:rPr>
        <w:t>20</w:t>
      </w:r>
      <w:r w:rsidRPr="007669B7">
        <w:rPr>
          <w:rFonts w:ascii="Century Gothic" w:hAnsi="Century Gothic"/>
          <w:sz w:val="24"/>
          <w:szCs w:val="24"/>
        </w:rPr>
        <w:t xml:space="preserve"> de </w:t>
      </w:r>
      <w:r w:rsidR="008F28FB">
        <w:rPr>
          <w:rFonts w:ascii="Century Gothic" w:hAnsi="Century Gothic"/>
          <w:sz w:val="24"/>
          <w:szCs w:val="24"/>
        </w:rPr>
        <w:t>enero de 2023</w:t>
      </w:r>
      <w:r w:rsidRPr="007669B7">
        <w:rPr>
          <w:rFonts w:ascii="Century Gothic" w:hAnsi="Century Gothic"/>
          <w:sz w:val="24"/>
          <w:szCs w:val="24"/>
        </w:rPr>
        <w:t>.</w:t>
      </w:r>
    </w:p>
    <w:p w:rsidR="00D55295" w:rsidRDefault="00D55295" w:rsidP="00D55295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D55295" w:rsidRDefault="00D55295" w:rsidP="00D55295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D55295" w:rsidRPr="007669B7" w:rsidRDefault="00D55295" w:rsidP="00D55295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D55295" w:rsidRPr="007669B7" w:rsidRDefault="00D55295" w:rsidP="00D55295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  <w:r w:rsidRPr="007669B7">
        <w:rPr>
          <w:rFonts w:ascii="Century Gothic" w:hAnsi="Century Gothic"/>
          <w:b/>
          <w:bCs/>
          <w:sz w:val="24"/>
          <w:szCs w:val="24"/>
        </w:rPr>
        <w:t>EL SECRETARIO TÉCNICO DE LA COMISIÓN.</w:t>
      </w:r>
    </w:p>
    <w:p w:rsidR="00D55295" w:rsidRPr="007669B7" w:rsidRDefault="00D55295" w:rsidP="00D55295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</w:p>
    <w:p w:rsidR="00D55295" w:rsidRPr="007669B7" w:rsidRDefault="00D55295" w:rsidP="00D55295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</w:p>
    <w:p w:rsidR="00D55295" w:rsidRPr="007669B7" w:rsidRDefault="00D55295" w:rsidP="00D55295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7669B7">
        <w:rPr>
          <w:rFonts w:ascii="Century Gothic" w:hAnsi="Century Gothic"/>
          <w:b/>
          <w:bCs/>
          <w:sz w:val="24"/>
          <w:szCs w:val="24"/>
        </w:rPr>
        <w:t>C. DANIEL PRECIADO TEMIQUEL.</w:t>
      </w:r>
    </w:p>
    <w:p w:rsidR="008F2B59" w:rsidRDefault="008F2B59"/>
    <w:sectPr w:rsidR="008F2B59" w:rsidSect="00C111C1">
      <w:headerReference w:type="default" r:id="rId6"/>
      <w:footerReference w:type="default" r:id="rId7"/>
      <w:headerReference w:type="first" r:id="rId8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05B" w:rsidRDefault="0076105B">
      <w:pPr>
        <w:spacing w:after="0" w:line="240" w:lineRule="auto"/>
      </w:pPr>
      <w:r>
        <w:separator/>
      </w:r>
    </w:p>
  </w:endnote>
  <w:endnote w:type="continuationSeparator" w:id="0">
    <w:p w:rsidR="0076105B" w:rsidRDefault="00761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5C" w:rsidRDefault="0076105B">
    <w:pPr>
      <w:pStyle w:val="Piedepgina"/>
      <w:jc w:val="right"/>
    </w:pPr>
  </w:p>
  <w:p w:rsidR="0024605C" w:rsidRDefault="007610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05B" w:rsidRDefault="0076105B">
      <w:pPr>
        <w:spacing w:after="0" w:line="240" w:lineRule="auto"/>
      </w:pPr>
      <w:r>
        <w:separator/>
      </w:r>
    </w:p>
  </w:footnote>
  <w:footnote w:type="continuationSeparator" w:id="0">
    <w:p w:rsidR="0076105B" w:rsidRDefault="00761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5C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DC2EAFC" wp14:editId="79BDA65A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05C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04112A" w:rsidRPr="0004112A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4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C2EAFC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04112A" w:rsidRPr="0004112A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4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7BA3BE9B" wp14:editId="53D44083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:rsidR="0024605C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F92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BBB357" wp14:editId="0BDBCA9A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BBB35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09F8400E" wp14:editId="13BDFEDA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7AE6B9A6" wp14:editId="006D07F3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5"/>
    <w:rsid w:val="0004112A"/>
    <w:rsid w:val="000850D9"/>
    <w:rsid w:val="00102BBC"/>
    <w:rsid w:val="001A461B"/>
    <w:rsid w:val="00265E85"/>
    <w:rsid w:val="00457230"/>
    <w:rsid w:val="004C29F2"/>
    <w:rsid w:val="004C6BDE"/>
    <w:rsid w:val="00542B42"/>
    <w:rsid w:val="00650A87"/>
    <w:rsid w:val="00717EAC"/>
    <w:rsid w:val="007432AD"/>
    <w:rsid w:val="0076105B"/>
    <w:rsid w:val="00884825"/>
    <w:rsid w:val="0089164C"/>
    <w:rsid w:val="008F28FB"/>
    <w:rsid w:val="008F2B59"/>
    <w:rsid w:val="0090368B"/>
    <w:rsid w:val="00905836"/>
    <w:rsid w:val="00912F73"/>
    <w:rsid w:val="00997865"/>
    <w:rsid w:val="009F5AAD"/>
    <w:rsid w:val="00A32C7C"/>
    <w:rsid w:val="00A355D6"/>
    <w:rsid w:val="00AF1301"/>
    <w:rsid w:val="00B419E7"/>
    <w:rsid w:val="00C13EE1"/>
    <w:rsid w:val="00C322BC"/>
    <w:rsid w:val="00CA20A3"/>
    <w:rsid w:val="00D55295"/>
    <w:rsid w:val="00D62864"/>
    <w:rsid w:val="00D91972"/>
    <w:rsid w:val="00E20583"/>
    <w:rsid w:val="00E91631"/>
    <w:rsid w:val="00E93274"/>
    <w:rsid w:val="00F0641A"/>
    <w:rsid w:val="00F6559C"/>
    <w:rsid w:val="00F8602C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F39C1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960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Windows User</cp:lastModifiedBy>
  <cp:revision>28</cp:revision>
  <dcterms:created xsi:type="dcterms:W3CDTF">2023-01-16T19:26:00Z</dcterms:created>
  <dcterms:modified xsi:type="dcterms:W3CDTF">2023-01-17T20:48:00Z</dcterms:modified>
</cp:coreProperties>
</file>